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51C" w:rsidRDefault="00EB551C" w:rsidP="00EB551C">
      <w:pPr>
        <w:spacing w:line="480" w:lineRule="auto"/>
        <w:jc w:val="center"/>
        <w:rPr>
          <w:rFonts w:ascii="Times New Roman" w:hAnsi="Times New Roman" w:cs="Times New Roman"/>
          <w:i/>
          <w:sz w:val="24"/>
          <w:szCs w:val="24"/>
        </w:rPr>
      </w:pPr>
    </w:p>
    <w:p w:rsidR="00E4045D" w:rsidRDefault="00E4045D" w:rsidP="00EB551C">
      <w:pPr>
        <w:spacing w:line="480" w:lineRule="auto"/>
        <w:jc w:val="center"/>
        <w:rPr>
          <w:rFonts w:ascii="Times New Roman" w:hAnsi="Times New Roman" w:cs="Times New Roman"/>
          <w:i/>
          <w:sz w:val="24"/>
          <w:szCs w:val="24"/>
        </w:rPr>
      </w:pPr>
    </w:p>
    <w:p w:rsidR="00E4045D" w:rsidRDefault="00E4045D" w:rsidP="00EB551C">
      <w:pPr>
        <w:spacing w:line="480" w:lineRule="auto"/>
        <w:jc w:val="center"/>
        <w:rPr>
          <w:rFonts w:ascii="Times New Roman" w:hAnsi="Times New Roman" w:cs="Times New Roman"/>
          <w:i/>
          <w:sz w:val="24"/>
          <w:szCs w:val="24"/>
        </w:rPr>
      </w:pPr>
    </w:p>
    <w:p w:rsidR="00E4045D" w:rsidRDefault="00E4045D" w:rsidP="00EB551C">
      <w:pPr>
        <w:spacing w:line="480" w:lineRule="auto"/>
        <w:jc w:val="center"/>
        <w:rPr>
          <w:rFonts w:ascii="Times New Roman" w:hAnsi="Times New Roman" w:cs="Times New Roman"/>
          <w:i/>
          <w:sz w:val="24"/>
          <w:szCs w:val="24"/>
        </w:rPr>
      </w:pPr>
    </w:p>
    <w:p w:rsidR="00E4045D" w:rsidRDefault="00E4045D" w:rsidP="00EB551C">
      <w:pPr>
        <w:spacing w:line="480" w:lineRule="auto"/>
        <w:jc w:val="center"/>
        <w:rPr>
          <w:rFonts w:ascii="Times New Roman" w:hAnsi="Times New Roman" w:cs="Times New Roman"/>
          <w:i/>
          <w:sz w:val="24"/>
          <w:szCs w:val="24"/>
        </w:rPr>
      </w:pPr>
    </w:p>
    <w:p w:rsidR="00E4045D" w:rsidRDefault="00E4045D" w:rsidP="00EB551C">
      <w:pPr>
        <w:spacing w:line="480" w:lineRule="auto"/>
        <w:jc w:val="center"/>
        <w:rPr>
          <w:rFonts w:ascii="Times New Roman" w:hAnsi="Times New Roman" w:cs="Times New Roman"/>
          <w:i/>
          <w:sz w:val="24"/>
          <w:szCs w:val="24"/>
        </w:rPr>
      </w:pPr>
    </w:p>
    <w:p w:rsidR="00EB551C" w:rsidRDefault="00EB551C" w:rsidP="00EB551C">
      <w:pPr>
        <w:spacing w:line="480" w:lineRule="auto"/>
        <w:jc w:val="center"/>
        <w:rPr>
          <w:rFonts w:ascii="Times New Roman" w:hAnsi="Times New Roman" w:cs="Times New Roman"/>
          <w:i/>
          <w:sz w:val="24"/>
          <w:szCs w:val="24"/>
        </w:rPr>
      </w:pPr>
      <w:r>
        <w:rPr>
          <w:rFonts w:ascii="Times New Roman" w:hAnsi="Times New Roman" w:cs="Times New Roman"/>
          <w:i/>
          <w:sz w:val="24"/>
          <w:szCs w:val="24"/>
        </w:rPr>
        <w:t>Health Care Replies</w:t>
      </w:r>
    </w:p>
    <w:p w:rsidR="00EB551C" w:rsidRPr="00EB551C" w:rsidRDefault="00EB551C" w:rsidP="00EB551C">
      <w:pPr>
        <w:spacing w:line="480" w:lineRule="auto"/>
        <w:jc w:val="center"/>
        <w:rPr>
          <w:rFonts w:ascii="Times New Roman" w:hAnsi="Times New Roman" w:cs="Times New Roman"/>
          <w:i/>
          <w:sz w:val="24"/>
          <w:szCs w:val="24"/>
        </w:rPr>
      </w:pPr>
      <w:r w:rsidRPr="00EB551C">
        <w:rPr>
          <w:rFonts w:ascii="Times New Roman" w:hAnsi="Times New Roman" w:cs="Times New Roman"/>
          <w:i/>
          <w:sz w:val="24"/>
          <w:szCs w:val="24"/>
        </w:rPr>
        <w:t>Student’s name.</w:t>
      </w:r>
    </w:p>
    <w:p w:rsidR="00EB551C" w:rsidRPr="00EB551C" w:rsidRDefault="00EB551C" w:rsidP="00EB551C">
      <w:pPr>
        <w:spacing w:line="480" w:lineRule="auto"/>
        <w:jc w:val="center"/>
        <w:rPr>
          <w:rFonts w:ascii="Times New Roman" w:hAnsi="Times New Roman" w:cs="Times New Roman"/>
          <w:i/>
          <w:sz w:val="24"/>
          <w:szCs w:val="24"/>
        </w:rPr>
      </w:pPr>
      <w:r w:rsidRPr="00EB551C">
        <w:rPr>
          <w:rFonts w:ascii="Times New Roman" w:hAnsi="Times New Roman" w:cs="Times New Roman"/>
          <w:i/>
          <w:sz w:val="24"/>
          <w:szCs w:val="24"/>
        </w:rPr>
        <w:t>Institutional affiliation.</w:t>
      </w:r>
    </w:p>
    <w:p w:rsidR="00EB551C" w:rsidRPr="00EB551C" w:rsidRDefault="00EB551C" w:rsidP="00EB551C">
      <w:pPr>
        <w:spacing w:line="480" w:lineRule="auto"/>
        <w:jc w:val="center"/>
        <w:rPr>
          <w:rFonts w:ascii="Times New Roman" w:hAnsi="Times New Roman" w:cs="Times New Roman"/>
          <w:i/>
          <w:sz w:val="24"/>
          <w:szCs w:val="24"/>
        </w:rPr>
      </w:pPr>
      <w:r w:rsidRPr="00EB551C">
        <w:rPr>
          <w:rFonts w:ascii="Times New Roman" w:hAnsi="Times New Roman" w:cs="Times New Roman"/>
          <w:i/>
          <w:sz w:val="24"/>
          <w:szCs w:val="24"/>
        </w:rPr>
        <w:t>Course-name.</w:t>
      </w:r>
    </w:p>
    <w:p w:rsidR="00EB551C" w:rsidRPr="00EB551C" w:rsidRDefault="00EB551C" w:rsidP="00EB551C">
      <w:pPr>
        <w:spacing w:line="480" w:lineRule="auto"/>
        <w:jc w:val="center"/>
        <w:rPr>
          <w:rFonts w:ascii="Times New Roman" w:hAnsi="Times New Roman" w:cs="Times New Roman"/>
          <w:i/>
          <w:sz w:val="24"/>
          <w:szCs w:val="24"/>
        </w:rPr>
      </w:pPr>
      <w:r w:rsidRPr="00EB551C">
        <w:rPr>
          <w:rFonts w:ascii="Times New Roman" w:hAnsi="Times New Roman" w:cs="Times New Roman"/>
          <w:i/>
          <w:sz w:val="24"/>
          <w:szCs w:val="24"/>
        </w:rPr>
        <w:t>Course number.</w:t>
      </w:r>
    </w:p>
    <w:p w:rsidR="00EB551C" w:rsidRPr="00EB551C" w:rsidRDefault="00EB551C" w:rsidP="00EB551C">
      <w:pPr>
        <w:spacing w:line="480" w:lineRule="auto"/>
        <w:jc w:val="center"/>
        <w:rPr>
          <w:rFonts w:ascii="Times New Roman" w:hAnsi="Times New Roman" w:cs="Times New Roman"/>
          <w:i/>
          <w:sz w:val="24"/>
          <w:szCs w:val="24"/>
        </w:rPr>
      </w:pPr>
      <w:r w:rsidRPr="00EB551C">
        <w:rPr>
          <w:rFonts w:ascii="Times New Roman" w:hAnsi="Times New Roman" w:cs="Times New Roman"/>
          <w:i/>
          <w:sz w:val="24"/>
          <w:szCs w:val="24"/>
        </w:rPr>
        <w:t>Date of submission</w:t>
      </w:r>
    </w:p>
    <w:p w:rsidR="00EB551C" w:rsidRDefault="00EB551C" w:rsidP="00EB551C">
      <w:pPr>
        <w:spacing w:line="480" w:lineRule="auto"/>
        <w:rPr>
          <w:rFonts w:ascii="Times New Roman" w:hAnsi="Times New Roman" w:cs="Times New Roman"/>
          <w:i/>
          <w:sz w:val="24"/>
          <w:szCs w:val="24"/>
        </w:rPr>
      </w:pPr>
    </w:p>
    <w:p w:rsidR="006364BE" w:rsidRPr="00EB551C" w:rsidRDefault="006364BE" w:rsidP="00EB551C">
      <w:pPr>
        <w:spacing w:line="480" w:lineRule="auto"/>
        <w:rPr>
          <w:rFonts w:ascii="Times New Roman" w:hAnsi="Times New Roman" w:cs="Times New Roman"/>
          <w:i/>
          <w:sz w:val="24"/>
          <w:szCs w:val="24"/>
        </w:rPr>
      </w:pPr>
    </w:p>
    <w:p w:rsidR="00E4045D" w:rsidRDefault="00E4045D" w:rsidP="00EB551C">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br w:type="page"/>
      </w:r>
    </w:p>
    <w:p w:rsidR="00E4045D" w:rsidRDefault="00E4045D" w:rsidP="00E4045D">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Response 1# </w:t>
      </w:r>
    </w:p>
    <w:p w:rsidR="005D096E" w:rsidRPr="00EB551C" w:rsidRDefault="00603A2D" w:rsidP="00EB551C">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I have read </w:t>
      </w:r>
      <w:r w:rsidR="00CD06AF" w:rsidRPr="00EB551C">
        <w:rPr>
          <w:rFonts w:ascii="Times New Roman" w:hAnsi="Times New Roman" w:cs="Times New Roman"/>
          <w:i/>
          <w:sz w:val="24"/>
          <w:szCs w:val="24"/>
        </w:rPr>
        <w:t>the</w:t>
      </w:r>
      <w:r>
        <w:rPr>
          <w:rFonts w:ascii="Times New Roman" w:hAnsi="Times New Roman" w:cs="Times New Roman"/>
          <w:i/>
          <w:sz w:val="24"/>
          <w:szCs w:val="24"/>
        </w:rPr>
        <w:t xml:space="preserve"> article on macrocytic and normocytic and I agree on you that </w:t>
      </w:r>
      <w:r w:rsidRPr="00EB551C">
        <w:rPr>
          <w:rFonts w:ascii="Times New Roman" w:hAnsi="Times New Roman" w:cs="Times New Roman"/>
          <w:i/>
          <w:sz w:val="24"/>
          <w:szCs w:val="24"/>
        </w:rPr>
        <w:t>macrocytic</w:t>
      </w:r>
      <w:r w:rsidR="00CD06AF" w:rsidRPr="00EB551C">
        <w:rPr>
          <w:rFonts w:ascii="Times New Roman" w:hAnsi="Times New Roman" w:cs="Times New Roman"/>
          <w:i/>
          <w:sz w:val="24"/>
          <w:szCs w:val="24"/>
        </w:rPr>
        <w:t xml:space="preserve"> type of anemia causes unusual enlargement of red blood cells. </w:t>
      </w:r>
      <w:r w:rsidR="00E4045D">
        <w:rPr>
          <w:rFonts w:ascii="Times New Roman" w:hAnsi="Times New Roman" w:cs="Times New Roman"/>
          <w:i/>
          <w:sz w:val="24"/>
          <w:szCs w:val="24"/>
        </w:rPr>
        <w:t xml:space="preserve">I have read the article by </w:t>
      </w:r>
      <w:r w:rsidR="00E4045D">
        <w:rPr>
          <w:rFonts w:ascii="Times New Roman" w:hAnsi="Times New Roman" w:cs="Times New Roman"/>
          <w:i/>
          <w:sz w:val="24"/>
          <w:szCs w:val="24"/>
        </w:rPr>
        <w:t>(</w:t>
      </w:r>
      <w:r w:rsidR="00E4045D" w:rsidRPr="00403B84">
        <w:rPr>
          <w:rFonts w:ascii="Times New Roman" w:hAnsi="Times New Roman" w:cs="Times New Roman"/>
          <w:i/>
          <w:sz w:val="24"/>
          <w:szCs w:val="24"/>
        </w:rPr>
        <w:t>Ashok  &amp; Varadarajan, 2019)</w:t>
      </w:r>
      <w:r w:rsidR="00E4045D">
        <w:rPr>
          <w:rFonts w:ascii="Times New Roman" w:hAnsi="Times New Roman" w:cs="Times New Roman"/>
          <w:i/>
          <w:sz w:val="24"/>
          <w:szCs w:val="24"/>
        </w:rPr>
        <w:t xml:space="preserve">  and just l</w:t>
      </w:r>
      <w:r w:rsidR="00CD06AF" w:rsidRPr="00EB551C">
        <w:rPr>
          <w:rFonts w:ascii="Times New Roman" w:hAnsi="Times New Roman" w:cs="Times New Roman"/>
          <w:i/>
          <w:sz w:val="24"/>
          <w:szCs w:val="24"/>
        </w:rPr>
        <w:t>ike any other type of anemia,</w:t>
      </w:r>
      <w:r w:rsidR="00E4045D">
        <w:rPr>
          <w:rFonts w:ascii="Times New Roman" w:hAnsi="Times New Roman" w:cs="Times New Roman"/>
          <w:i/>
          <w:sz w:val="24"/>
          <w:szCs w:val="24"/>
        </w:rPr>
        <w:t xml:space="preserve"> agree with your post that</w:t>
      </w:r>
      <w:r w:rsidR="00CD06AF" w:rsidRPr="00EB551C">
        <w:rPr>
          <w:rFonts w:ascii="Times New Roman" w:hAnsi="Times New Roman" w:cs="Times New Roman"/>
          <w:i/>
          <w:sz w:val="24"/>
          <w:szCs w:val="24"/>
        </w:rPr>
        <w:t xml:space="preserve"> level of hemoglobin in the red blood cells is </w:t>
      </w:r>
      <w:r w:rsidR="00EB551C" w:rsidRPr="00EB551C">
        <w:rPr>
          <w:rFonts w:ascii="Times New Roman" w:hAnsi="Times New Roman" w:cs="Times New Roman"/>
          <w:i/>
          <w:sz w:val="24"/>
          <w:szCs w:val="24"/>
        </w:rPr>
        <w:t>low;</w:t>
      </w:r>
      <w:r w:rsidR="00AC2DE5" w:rsidRPr="00EB551C">
        <w:rPr>
          <w:rFonts w:ascii="Times New Roman" w:hAnsi="Times New Roman" w:cs="Times New Roman"/>
          <w:i/>
          <w:sz w:val="24"/>
          <w:szCs w:val="24"/>
        </w:rPr>
        <w:t xml:space="preserve"> implying the supply of oxygen is small</w:t>
      </w:r>
      <w:r w:rsidR="00403B84" w:rsidRPr="00403B84">
        <w:rPr>
          <w:rFonts w:ascii="Times New Roman" w:hAnsi="Times New Roman" w:cs="Times New Roman"/>
          <w:i/>
          <w:sz w:val="24"/>
          <w:szCs w:val="24"/>
        </w:rPr>
        <w:t>.</w:t>
      </w:r>
      <w:r w:rsidR="00662E75" w:rsidRPr="00EB551C">
        <w:rPr>
          <w:rFonts w:ascii="Times New Roman" w:hAnsi="Times New Roman" w:cs="Times New Roman"/>
          <w:i/>
          <w:sz w:val="24"/>
          <w:szCs w:val="24"/>
        </w:rPr>
        <w:t xml:space="preserve"> It is also referred to as vitamin deficiency anemia</w:t>
      </w:r>
      <w:r w:rsidR="00CD06AF" w:rsidRPr="00EB551C">
        <w:rPr>
          <w:rFonts w:ascii="Times New Roman" w:hAnsi="Times New Roman" w:cs="Times New Roman"/>
          <w:i/>
          <w:sz w:val="24"/>
          <w:szCs w:val="24"/>
        </w:rPr>
        <w:t>.</w:t>
      </w:r>
      <w:r w:rsidR="00610AA0" w:rsidRPr="00610AA0">
        <w:rPr>
          <w:rFonts w:ascii="Times New Roman" w:hAnsi="Times New Roman" w:cs="Times New Roman"/>
          <w:i/>
          <w:sz w:val="24"/>
          <w:szCs w:val="24"/>
        </w:rPr>
        <w:t xml:space="preserve"> </w:t>
      </w:r>
      <w:r w:rsidR="00610AA0">
        <w:rPr>
          <w:rFonts w:ascii="Times New Roman" w:hAnsi="Times New Roman" w:cs="Times New Roman"/>
          <w:i/>
          <w:sz w:val="24"/>
          <w:szCs w:val="24"/>
        </w:rPr>
        <w:t xml:space="preserve">According to </w:t>
      </w:r>
      <w:r w:rsidR="00610AA0" w:rsidRPr="00610AA0">
        <w:rPr>
          <w:rFonts w:ascii="Times New Roman" w:hAnsi="Times New Roman" w:cs="Times New Roman"/>
          <w:i/>
          <w:sz w:val="24"/>
          <w:szCs w:val="24"/>
        </w:rPr>
        <w:t>Ganz, 2019</w:t>
      </w:r>
      <w:r w:rsidR="00610AA0">
        <w:rPr>
          <w:rFonts w:ascii="Times New Roman" w:hAnsi="Times New Roman" w:cs="Times New Roman"/>
          <w:i/>
          <w:sz w:val="24"/>
          <w:szCs w:val="24"/>
        </w:rPr>
        <w:t xml:space="preserve"> m</w:t>
      </w:r>
      <w:r w:rsidR="00AC2DE5" w:rsidRPr="00EB551C">
        <w:rPr>
          <w:rFonts w:ascii="Times New Roman" w:hAnsi="Times New Roman" w:cs="Times New Roman"/>
          <w:i/>
          <w:sz w:val="24"/>
          <w:szCs w:val="24"/>
        </w:rPr>
        <w:t>easurements of the red blood cells are usually done by femtolitres unit, and if they are more significant than 100 FL, they are considered macrocytic. It implies that oxygen in the blood is not sufficient as it should be.</w:t>
      </w:r>
      <w:r w:rsidR="00CD06AF" w:rsidRPr="00EB551C">
        <w:rPr>
          <w:rFonts w:ascii="Times New Roman" w:hAnsi="Times New Roman" w:cs="Times New Roman"/>
          <w:i/>
          <w:sz w:val="24"/>
          <w:szCs w:val="24"/>
        </w:rPr>
        <w:t xml:space="preserve"> </w:t>
      </w:r>
      <w:r>
        <w:rPr>
          <w:rFonts w:ascii="Times New Roman" w:hAnsi="Times New Roman" w:cs="Times New Roman"/>
          <w:i/>
          <w:sz w:val="24"/>
          <w:szCs w:val="24"/>
        </w:rPr>
        <w:t>Additionally, n</w:t>
      </w:r>
      <w:r w:rsidR="00CD06AF" w:rsidRPr="00EB551C">
        <w:rPr>
          <w:rFonts w:ascii="Times New Roman" w:hAnsi="Times New Roman" w:cs="Times New Roman"/>
          <w:i/>
          <w:sz w:val="24"/>
          <w:szCs w:val="24"/>
        </w:rPr>
        <w:t>ormocytic anemia, on the other hand, is the insufficiency of the red blood cells in providing enough oxygen to the organs and body tissues. However, the blood cells are healthy in size and shape</w:t>
      </w:r>
      <w:r w:rsidRPr="00603A2D">
        <w:rPr>
          <w:rFonts w:ascii="Times New Roman" w:hAnsi="Times New Roman" w:cs="Times New Roman"/>
          <w:i/>
          <w:sz w:val="24"/>
          <w:szCs w:val="24"/>
        </w:rPr>
        <w:t xml:space="preserve"> </w:t>
      </w:r>
      <w:r>
        <w:rPr>
          <w:rFonts w:ascii="Times New Roman" w:hAnsi="Times New Roman" w:cs="Times New Roman"/>
          <w:i/>
          <w:sz w:val="24"/>
          <w:szCs w:val="24"/>
        </w:rPr>
        <w:t>(Ganz, 2019)</w:t>
      </w:r>
      <w:r w:rsidR="00CD06AF" w:rsidRPr="00EB551C">
        <w:rPr>
          <w:rFonts w:ascii="Times New Roman" w:hAnsi="Times New Roman" w:cs="Times New Roman"/>
          <w:i/>
          <w:sz w:val="24"/>
          <w:szCs w:val="24"/>
        </w:rPr>
        <w:t>. From the case study, it is ev</w:t>
      </w:r>
      <w:r w:rsidR="00610AA0">
        <w:rPr>
          <w:rFonts w:ascii="Times New Roman" w:hAnsi="Times New Roman" w:cs="Times New Roman"/>
          <w:i/>
          <w:sz w:val="24"/>
          <w:szCs w:val="24"/>
        </w:rPr>
        <w:t>ident that the</w:t>
      </w:r>
      <w:r w:rsidR="00CD06AF" w:rsidRPr="00EB551C">
        <w:rPr>
          <w:rFonts w:ascii="Times New Roman" w:hAnsi="Times New Roman" w:cs="Times New Roman"/>
          <w:i/>
          <w:sz w:val="24"/>
          <w:szCs w:val="24"/>
        </w:rPr>
        <w:t xml:space="preserve"> 21-year-old female was suffering from macrocytic anemia since there was no supply of oxygen in the blood from the low red blood cells amount</w:t>
      </w:r>
      <w:r w:rsidR="00403B84" w:rsidRPr="00403B84">
        <w:rPr>
          <w:rFonts w:ascii="Times New Roman" w:hAnsi="Times New Roman" w:cs="Times New Roman"/>
          <w:i/>
          <w:sz w:val="24"/>
          <w:szCs w:val="24"/>
        </w:rPr>
        <w:t>.</w:t>
      </w:r>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bookmarkStart w:id="0" w:name="_GoBack"/>
      <w:bookmarkEnd w:id="0"/>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p>
    <w:p w:rsidR="00092FC9" w:rsidRDefault="00092FC9" w:rsidP="00EB551C">
      <w:pPr>
        <w:spacing w:line="480" w:lineRule="auto"/>
        <w:rPr>
          <w:rFonts w:ascii="Times New Roman" w:hAnsi="Times New Roman" w:cs="Times New Roman"/>
          <w:i/>
          <w:sz w:val="24"/>
          <w:szCs w:val="24"/>
        </w:rPr>
      </w:pPr>
    </w:p>
    <w:p w:rsidR="00092FC9" w:rsidRDefault="00092FC9" w:rsidP="00603A2D">
      <w:pPr>
        <w:spacing w:line="480" w:lineRule="auto"/>
        <w:jc w:val="center"/>
        <w:rPr>
          <w:rFonts w:ascii="Times New Roman" w:hAnsi="Times New Roman" w:cs="Times New Roman"/>
          <w:i/>
          <w:sz w:val="24"/>
          <w:szCs w:val="24"/>
        </w:rPr>
      </w:pPr>
      <w:r>
        <w:rPr>
          <w:rFonts w:ascii="Times New Roman" w:hAnsi="Times New Roman" w:cs="Times New Roman"/>
          <w:i/>
          <w:sz w:val="24"/>
          <w:szCs w:val="24"/>
        </w:rPr>
        <w:t>REFERENCES.</w:t>
      </w:r>
    </w:p>
    <w:p w:rsidR="00403B84" w:rsidRPr="00EB551C" w:rsidRDefault="00403B84" w:rsidP="00403B84">
      <w:pPr>
        <w:spacing w:line="480" w:lineRule="auto"/>
        <w:ind w:left="720" w:hanging="720"/>
        <w:rPr>
          <w:rFonts w:ascii="Times New Roman" w:hAnsi="Times New Roman" w:cs="Times New Roman"/>
          <w:i/>
          <w:sz w:val="24"/>
          <w:szCs w:val="24"/>
        </w:rPr>
      </w:pPr>
      <w:r w:rsidRPr="00403B84">
        <w:rPr>
          <w:rFonts w:ascii="Times New Roman" w:hAnsi="Times New Roman" w:cs="Times New Roman"/>
          <w:i/>
          <w:sz w:val="24"/>
          <w:szCs w:val="24"/>
        </w:rPr>
        <w:t>Ashok, C., &amp; Varadarajan, E. (2019). Comparative Study of Peripheral Smear with RBC Indices and RBC Histogram in Diagnosis of Anemia. </w:t>
      </w:r>
      <w:r w:rsidRPr="00403B84">
        <w:rPr>
          <w:rFonts w:ascii="Times New Roman" w:hAnsi="Times New Roman" w:cs="Times New Roman"/>
          <w:i/>
          <w:iCs/>
          <w:sz w:val="24"/>
          <w:szCs w:val="24"/>
        </w:rPr>
        <w:t>International Journal</w:t>
      </w:r>
      <w:r w:rsidRPr="00403B84">
        <w:rPr>
          <w:rFonts w:ascii="Times New Roman" w:hAnsi="Times New Roman" w:cs="Times New Roman"/>
          <w:i/>
          <w:sz w:val="24"/>
          <w:szCs w:val="24"/>
        </w:rPr>
        <w:t>, </w:t>
      </w:r>
      <w:r w:rsidRPr="00403B84">
        <w:rPr>
          <w:rFonts w:ascii="Times New Roman" w:hAnsi="Times New Roman" w:cs="Times New Roman"/>
          <w:i/>
          <w:iCs/>
          <w:sz w:val="24"/>
          <w:szCs w:val="24"/>
        </w:rPr>
        <w:t>2</w:t>
      </w:r>
      <w:r w:rsidRPr="00403B84">
        <w:rPr>
          <w:rFonts w:ascii="Times New Roman" w:hAnsi="Times New Roman" w:cs="Times New Roman"/>
          <w:i/>
          <w:sz w:val="24"/>
          <w:szCs w:val="24"/>
        </w:rPr>
        <w:t>(3), 220.</w:t>
      </w:r>
    </w:p>
    <w:p w:rsidR="00403B84" w:rsidRDefault="00403B84" w:rsidP="00403B84">
      <w:pPr>
        <w:spacing w:line="480" w:lineRule="auto"/>
        <w:ind w:left="720" w:hanging="720"/>
        <w:rPr>
          <w:rFonts w:ascii="Times New Roman" w:hAnsi="Times New Roman" w:cs="Times New Roman"/>
          <w:i/>
          <w:sz w:val="24"/>
          <w:szCs w:val="24"/>
        </w:rPr>
      </w:pPr>
      <w:r w:rsidRPr="00092FC9">
        <w:rPr>
          <w:rFonts w:ascii="Times New Roman" w:hAnsi="Times New Roman" w:cs="Times New Roman"/>
          <w:i/>
          <w:sz w:val="24"/>
          <w:szCs w:val="24"/>
        </w:rPr>
        <w:t>Ganz, T. (2019). Anemia of inflammation. </w:t>
      </w:r>
      <w:r w:rsidRPr="00092FC9">
        <w:rPr>
          <w:rFonts w:ascii="Times New Roman" w:hAnsi="Times New Roman" w:cs="Times New Roman"/>
          <w:i/>
          <w:iCs/>
          <w:sz w:val="24"/>
          <w:szCs w:val="24"/>
        </w:rPr>
        <w:t>New England Journal of Medicine</w:t>
      </w:r>
      <w:r w:rsidRPr="00092FC9">
        <w:rPr>
          <w:rFonts w:ascii="Times New Roman" w:hAnsi="Times New Roman" w:cs="Times New Roman"/>
          <w:i/>
          <w:sz w:val="24"/>
          <w:szCs w:val="24"/>
        </w:rPr>
        <w:t>, </w:t>
      </w:r>
      <w:r w:rsidRPr="00092FC9">
        <w:rPr>
          <w:rFonts w:ascii="Times New Roman" w:hAnsi="Times New Roman" w:cs="Times New Roman"/>
          <w:i/>
          <w:iCs/>
          <w:sz w:val="24"/>
          <w:szCs w:val="24"/>
        </w:rPr>
        <w:t>381</w:t>
      </w:r>
      <w:r w:rsidRPr="00092FC9">
        <w:rPr>
          <w:rFonts w:ascii="Times New Roman" w:hAnsi="Times New Roman" w:cs="Times New Roman"/>
          <w:i/>
          <w:sz w:val="24"/>
          <w:szCs w:val="24"/>
        </w:rPr>
        <w:t>(12), 1148-1157.</w:t>
      </w:r>
    </w:p>
    <w:sectPr w:rsidR="00403B84" w:rsidSect="00EB55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0AC" w:rsidRDefault="002360AC" w:rsidP="00EB551C">
      <w:pPr>
        <w:spacing w:after="0" w:line="240" w:lineRule="auto"/>
      </w:pPr>
      <w:r>
        <w:separator/>
      </w:r>
    </w:p>
  </w:endnote>
  <w:endnote w:type="continuationSeparator" w:id="0">
    <w:p w:rsidR="002360AC" w:rsidRDefault="002360AC" w:rsidP="00EB5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0AC" w:rsidRDefault="002360AC" w:rsidP="00EB551C">
      <w:pPr>
        <w:spacing w:after="0" w:line="240" w:lineRule="auto"/>
      </w:pPr>
      <w:r>
        <w:separator/>
      </w:r>
    </w:p>
  </w:footnote>
  <w:footnote w:type="continuationSeparator" w:id="0">
    <w:p w:rsidR="002360AC" w:rsidRDefault="002360AC" w:rsidP="00EB5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5199961"/>
      <w:docPartObj>
        <w:docPartGallery w:val="Page Numbers (Top of Page)"/>
        <w:docPartUnique/>
      </w:docPartObj>
    </w:sdtPr>
    <w:sdtEndPr>
      <w:rPr>
        <w:noProof/>
      </w:rPr>
    </w:sdtEndPr>
    <w:sdtContent>
      <w:p w:rsidR="00EB551C" w:rsidRPr="00E4045D" w:rsidRDefault="00EB551C">
        <w:pPr>
          <w:pStyle w:val="Header"/>
          <w:jc w:val="right"/>
          <w:rPr>
            <w:rFonts w:ascii="Times New Roman" w:hAnsi="Times New Roman" w:cs="Times New Roman"/>
            <w:sz w:val="24"/>
            <w:szCs w:val="24"/>
          </w:rPr>
        </w:pPr>
        <w:r w:rsidRPr="00E4045D">
          <w:rPr>
            <w:rFonts w:ascii="Times New Roman" w:hAnsi="Times New Roman" w:cs="Times New Roman"/>
            <w:sz w:val="24"/>
            <w:szCs w:val="24"/>
          </w:rPr>
          <w:fldChar w:fldCharType="begin"/>
        </w:r>
        <w:r w:rsidRPr="00E4045D">
          <w:rPr>
            <w:rFonts w:ascii="Times New Roman" w:hAnsi="Times New Roman" w:cs="Times New Roman"/>
            <w:sz w:val="24"/>
            <w:szCs w:val="24"/>
          </w:rPr>
          <w:instrText xml:space="preserve"> PAGE   \* MERGEFORMAT </w:instrText>
        </w:r>
        <w:r w:rsidRPr="00E4045D">
          <w:rPr>
            <w:rFonts w:ascii="Times New Roman" w:hAnsi="Times New Roman" w:cs="Times New Roman"/>
            <w:sz w:val="24"/>
            <w:szCs w:val="24"/>
          </w:rPr>
          <w:fldChar w:fldCharType="separate"/>
        </w:r>
        <w:r w:rsidR="00E4045D">
          <w:rPr>
            <w:rFonts w:ascii="Times New Roman" w:hAnsi="Times New Roman" w:cs="Times New Roman"/>
            <w:noProof/>
            <w:sz w:val="24"/>
            <w:szCs w:val="24"/>
          </w:rPr>
          <w:t>2</w:t>
        </w:r>
        <w:r w:rsidRPr="00E4045D">
          <w:rPr>
            <w:rFonts w:ascii="Times New Roman" w:hAnsi="Times New Roman" w:cs="Times New Roman"/>
            <w:noProof/>
            <w:sz w:val="24"/>
            <w:szCs w:val="24"/>
          </w:rPr>
          <w:fldChar w:fldCharType="end"/>
        </w:r>
      </w:p>
    </w:sdtContent>
  </w:sdt>
  <w:p w:rsidR="00EB551C" w:rsidRPr="00E4045D" w:rsidRDefault="00EB551C">
    <w:pPr>
      <w:pStyle w:val="Header"/>
      <w:rPr>
        <w:rFonts w:ascii="Times New Roman" w:hAnsi="Times New Roman" w:cs="Times New Roman"/>
        <w:sz w:val="24"/>
        <w:szCs w:val="24"/>
      </w:rPr>
    </w:pPr>
    <w:r w:rsidRPr="00E4045D">
      <w:rPr>
        <w:rFonts w:ascii="Times New Roman" w:hAnsi="Times New Roman" w:cs="Times New Roman"/>
        <w:sz w:val="24"/>
        <w:szCs w:val="24"/>
      </w:rPr>
      <w:t>HEALTH CARE REPLIES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496496456"/>
      <w:docPartObj>
        <w:docPartGallery w:val="Page Numbers (Top of Page)"/>
        <w:docPartUnique/>
      </w:docPartObj>
    </w:sdtPr>
    <w:sdtEndPr>
      <w:rPr>
        <w:noProof/>
      </w:rPr>
    </w:sdtEndPr>
    <w:sdtContent>
      <w:p w:rsidR="00EB551C" w:rsidRPr="00E4045D" w:rsidRDefault="00E4045D" w:rsidP="00E4045D">
        <w:pPr>
          <w:pStyle w:val="Header"/>
          <w:tabs>
            <w:tab w:val="left" w:pos="2445"/>
          </w:tabs>
          <w:rPr>
            <w:rFonts w:ascii="Times New Roman" w:hAnsi="Times New Roman" w:cs="Times New Roman"/>
            <w:sz w:val="24"/>
          </w:rPr>
        </w:pPr>
        <w:r w:rsidRPr="00E4045D">
          <w:rPr>
            <w:rFonts w:ascii="Times New Roman" w:hAnsi="Times New Roman" w:cs="Times New Roman"/>
            <w:sz w:val="24"/>
          </w:rPr>
          <w:tab/>
        </w:r>
        <w:r w:rsidRPr="00E4045D">
          <w:rPr>
            <w:rFonts w:ascii="Times New Roman" w:hAnsi="Times New Roman" w:cs="Times New Roman"/>
            <w:sz w:val="24"/>
          </w:rPr>
          <w:tab/>
        </w:r>
        <w:r w:rsidRPr="00E4045D">
          <w:rPr>
            <w:rFonts w:ascii="Times New Roman" w:hAnsi="Times New Roman" w:cs="Times New Roman"/>
            <w:sz w:val="24"/>
          </w:rPr>
          <w:tab/>
        </w:r>
        <w:r w:rsidR="00EB551C" w:rsidRPr="00E4045D">
          <w:rPr>
            <w:rFonts w:ascii="Times New Roman" w:hAnsi="Times New Roman" w:cs="Times New Roman"/>
            <w:sz w:val="24"/>
          </w:rPr>
          <w:fldChar w:fldCharType="begin"/>
        </w:r>
        <w:r w:rsidR="00EB551C" w:rsidRPr="00E4045D">
          <w:rPr>
            <w:rFonts w:ascii="Times New Roman" w:hAnsi="Times New Roman" w:cs="Times New Roman"/>
            <w:sz w:val="24"/>
          </w:rPr>
          <w:instrText xml:space="preserve"> PAGE   \* MERGEFORMAT </w:instrText>
        </w:r>
        <w:r w:rsidR="00EB551C" w:rsidRPr="00E4045D">
          <w:rPr>
            <w:rFonts w:ascii="Times New Roman" w:hAnsi="Times New Roman" w:cs="Times New Roman"/>
            <w:sz w:val="24"/>
          </w:rPr>
          <w:fldChar w:fldCharType="separate"/>
        </w:r>
        <w:r>
          <w:rPr>
            <w:rFonts w:ascii="Times New Roman" w:hAnsi="Times New Roman" w:cs="Times New Roman"/>
            <w:noProof/>
            <w:sz w:val="24"/>
          </w:rPr>
          <w:t>1</w:t>
        </w:r>
        <w:r w:rsidR="00EB551C" w:rsidRPr="00E4045D">
          <w:rPr>
            <w:rFonts w:ascii="Times New Roman" w:hAnsi="Times New Roman" w:cs="Times New Roman"/>
            <w:noProof/>
            <w:sz w:val="24"/>
          </w:rPr>
          <w:fldChar w:fldCharType="end"/>
        </w:r>
      </w:p>
    </w:sdtContent>
  </w:sdt>
  <w:p w:rsidR="00EB551C" w:rsidRPr="00E4045D" w:rsidRDefault="00092FC9">
    <w:pPr>
      <w:pStyle w:val="Header"/>
      <w:rPr>
        <w:rFonts w:ascii="Times New Roman" w:hAnsi="Times New Roman" w:cs="Times New Roman"/>
        <w:sz w:val="24"/>
      </w:rPr>
    </w:pPr>
    <w:r w:rsidRPr="00E4045D">
      <w:rPr>
        <w:rFonts w:ascii="Times New Roman" w:hAnsi="Times New Roman" w:cs="Times New Roman"/>
        <w:sz w:val="24"/>
      </w:rPr>
      <w:t>Running Head: HEALTH CARE REPLIES.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D28"/>
    <w:rsid w:val="000211F2"/>
    <w:rsid w:val="00092FC9"/>
    <w:rsid w:val="002360AC"/>
    <w:rsid w:val="00403B84"/>
    <w:rsid w:val="00520AAE"/>
    <w:rsid w:val="005D096E"/>
    <w:rsid w:val="00603A2D"/>
    <w:rsid w:val="00610AA0"/>
    <w:rsid w:val="006364BE"/>
    <w:rsid w:val="00662E75"/>
    <w:rsid w:val="007E1C9F"/>
    <w:rsid w:val="00A75F70"/>
    <w:rsid w:val="00AC2DE5"/>
    <w:rsid w:val="00CA7D28"/>
    <w:rsid w:val="00CD06AF"/>
    <w:rsid w:val="00E4045D"/>
    <w:rsid w:val="00EB5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041243-EB11-40DA-8F25-9288FB03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51C"/>
  </w:style>
  <w:style w:type="paragraph" w:styleId="Footer">
    <w:name w:val="footer"/>
    <w:basedOn w:val="Normal"/>
    <w:link w:val="FooterChar"/>
    <w:uiPriority w:val="99"/>
    <w:unhideWhenUsed/>
    <w:rsid w:val="00EB5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3</cp:revision>
  <dcterms:created xsi:type="dcterms:W3CDTF">2020-08-24T14:41:00Z</dcterms:created>
  <dcterms:modified xsi:type="dcterms:W3CDTF">2020-08-24T15:25:00Z</dcterms:modified>
</cp:coreProperties>
</file>